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1B55E" w14:textId="77777777" w:rsidR="00D33B59" w:rsidRPr="008D79BA" w:rsidRDefault="00D33B59" w:rsidP="00D33B59">
      <w:pPr>
        <w:spacing w:line="240" w:lineRule="auto"/>
        <w:contextualSpacing/>
        <w:jc w:val="center"/>
        <w:rPr>
          <w:b/>
          <w:sz w:val="22"/>
          <w:szCs w:val="22"/>
        </w:rPr>
      </w:pPr>
      <w:r>
        <w:rPr>
          <w:b/>
          <w:sz w:val="22"/>
          <w:szCs w:val="22"/>
        </w:rPr>
        <w:t>Liberal Arts Council</w:t>
      </w:r>
      <w:r>
        <w:rPr>
          <w:b/>
          <w:sz w:val="22"/>
          <w:szCs w:val="22"/>
        </w:rPr>
        <w:br/>
        <w:t>November 3, 2015</w:t>
      </w:r>
    </w:p>
    <w:p w14:paraId="267797AA" w14:textId="77777777" w:rsidR="00D33B59" w:rsidRDefault="00D33B59" w:rsidP="00D33B59">
      <w:pPr>
        <w:spacing w:line="240" w:lineRule="auto"/>
        <w:contextualSpacing/>
        <w:rPr>
          <w:sz w:val="22"/>
          <w:szCs w:val="22"/>
        </w:rPr>
      </w:pPr>
    </w:p>
    <w:p w14:paraId="5502174B" w14:textId="4CD4EC35" w:rsidR="00D33B59" w:rsidRDefault="00D33B59" w:rsidP="00D33B59">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S. Rode, I. Phillips, T. </w:t>
      </w:r>
      <w:proofErr w:type="spellStart"/>
      <w:r>
        <w:rPr>
          <w:sz w:val="22"/>
          <w:szCs w:val="22"/>
        </w:rPr>
        <w:t>Schroer</w:t>
      </w:r>
      <w:proofErr w:type="spellEnd"/>
      <w:r>
        <w:rPr>
          <w:sz w:val="22"/>
          <w:szCs w:val="22"/>
        </w:rPr>
        <w:t xml:space="preserve">, S. Spencer, </w:t>
      </w:r>
      <w:r w:rsidRPr="005A5818">
        <w:rPr>
          <w:sz w:val="22"/>
          <w:szCs w:val="22"/>
        </w:rPr>
        <w:t>W. Rin</w:t>
      </w:r>
      <w:r>
        <w:rPr>
          <w:sz w:val="22"/>
          <w:szCs w:val="22"/>
        </w:rPr>
        <w:t xml:space="preserve">ks, O. </w:t>
      </w:r>
      <w:proofErr w:type="spellStart"/>
      <w:r>
        <w:rPr>
          <w:sz w:val="22"/>
          <w:szCs w:val="22"/>
        </w:rPr>
        <w:t>Armeanu</w:t>
      </w:r>
      <w:proofErr w:type="spellEnd"/>
      <w:r>
        <w:rPr>
          <w:sz w:val="22"/>
          <w:szCs w:val="22"/>
        </w:rPr>
        <w:t xml:space="preserve">, H. </w:t>
      </w:r>
      <w:proofErr w:type="spellStart"/>
      <w:r>
        <w:rPr>
          <w:sz w:val="22"/>
          <w:szCs w:val="22"/>
        </w:rPr>
        <w:t>Braysmith</w:t>
      </w:r>
      <w:proofErr w:type="spellEnd"/>
      <w:r>
        <w:rPr>
          <w:sz w:val="22"/>
          <w:szCs w:val="22"/>
        </w:rPr>
        <w:t>, J. Hardgrave, P. Raymond, D. Hitchcock, E. Wasser</w:t>
      </w:r>
      <w:r w:rsidR="00FF60BB">
        <w:rPr>
          <w:sz w:val="22"/>
          <w:szCs w:val="22"/>
        </w:rPr>
        <w:t xml:space="preserve">man, K. </w:t>
      </w:r>
      <w:proofErr w:type="spellStart"/>
      <w:r w:rsidR="00FF60BB">
        <w:rPr>
          <w:sz w:val="22"/>
          <w:szCs w:val="22"/>
        </w:rPr>
        <w:t>Oeth</w:t>
      </w:r>
      <w:proofErr w:type="spellEnd"/>
      <w:r w:rsidR="00FF60BB">
        <w:rPr>
          <w:sz w:val="22"/>
          <w:szCs w:val="22"/>
        </w:rPr>
        <w:t xml:space="preserve">, and R. </w:t>
      </w:r>
      <w:proofErr w:type="spellStart"/>
      <w:r w:rsidR="00FF60BB">
        <w:rPr>
          <w:sz w:val="22"/>
          <w:szCs w:val="22"/>
        </w:rPr>
        <w:t>Lutton</w:t>
      </w:r>
      <w:proofErr w:type="spellEnd"/>
    </w:p>
    <w:p w14:paraId="4C447D79" w14:textId="77777777" w:rsidR="00D33B59" w:rsidRDefault="00D33B59" w:rsidP="00D33B59">
      <w:pPr>
        <w:spacing w:line="240" w:lineRule="auto"/>
        <w:contextualSpacing/>
        <w:rPr>
          <w:sz w:val="22"/>
          <w:szCs w:val="22"/>
        </w:rPr>
      </w:pPr>
      <w:r>
        <w:rPr>
          <w:sz w:val="22"/>
          <w:szCs w:val="22"/>
        </w:rPr>
        <w:t xml:space="preserve">Absent: D. </w:t>
      </w:r>
      <w:proofErr w:type="spellStart"/>
      <w:r>
        <w:rPr>
          <w:sz w:val="22"/>
          <w:szCs w:val="22"/>
        </w:rPr>
        <w:t>Pellant</w:t>
      </w:r>
      <w:proofErr w:type="spellEnd"/>
      <w:r>
        <w:rPr>
          <w:sz w:val="22"/>
          <w:szCs w:val="22"/>
        </w:rPr>
        <w:t xml:space="preserve"> and R. Rowland</w:t>
      </w:r>
      <w:bookmarkStart w:id="0" w:name="_GoBack"/>
      <w:bookmarkEnd w:id="0"/>
    </w:p>
    <w:p w14:paraId="7A8E7401" w14:textId="77777777" w:rsidR="00D33B59" w:rsidRPr="0010786B" w:rsidRDefault="00D33B59" w:rsidP="00D33B59">
      <w:pPr>
        <w:spacing w:line="240" w:lineRule="auto"/>
        <w:contextualSpacing/>
        <w:rPr>
          <w:sz w:val="22"/>
          <w:szCs w:val="22"/>
        </w:rPr>
      </w:pPr>
    </w:p>
    <w:p w14:paraId="46053D87" w14:textId="77777777" w:rsidR="00D33B59" w:rsidRDefault="00D33B59" w:rsidP="00D33B59">
      <w:pPr>
        <w:spacing w:line="240" w:lineRule="auto"/>
        <w:contextualSpacing/>
        <w:rPr>
          <w:sz w:val="22"/>
          <w:szCs w:val="22"/>
        </w:rPr>
      </w:pPr>
      <w:r>
        <w:rPr>
          <w:sz w:val="22"/>
          <w:szCs w:val="22"/>
        </w:rPr>
        <w:t>The meeting started at 9:00 a.m.</w:t>
      </w:r>
    </w:p>
    <w:p w14:paraId="521644ED" w14:textId="77777777" w:rsidR="00D33B59" w:rsidRDefault="00D33B59" w:rsidP="00D33B59">
      <w:pPr>
        <w:spacing w:line="240" w:lineRule="auto"/>
        <w:contextualSpacing/>
        <w:rPr>
          <w:sz w:val="22"/>
          <w:szCs w:val="22"/>
        </w:rPr>
      </w:pPr>
    </w:p>
    <w:p w14:paraId="3B5F0C9E" w14:textId="77777777" w:rsidR="00D33B59" w:rsidRDefault="00D33B59" w:rsidP="00D33B59">
      <w:pPr>
        <w:contextualSpacing/>
        <w:rPr>
          <w:sz w:val="22"/>
          <w:szCs w:val="22"/>
        </w:rPr>
      </w:pPr>
      <w:r>
        <w:rPr>
          <w:b/>
          <w:sz w:val="22"/>
          <w:szCs w:val="22"/>
        </w:rPr>
        <w:t>I. Budget and Cost Savings Updates</w:t>
      </w:r>
    </w:p>
    <w:p w14:paraId="4873DF0B" w14:textId="28623D5C" w:rsidR="007C3EDD" w:rsidRDefault="00D33B59" w:rsidP="00D33B59">
      <w:pPr>
        <w:contextualSpacing/>
        <w:rPr>
          <w:sz w:val="22"/>
          <w:szCs w:val="22"/>
        </w:rPr>
      </w:pPr>
      <w:r>
        <w:rPr>
          <w:sz w:val="22"/>
          <w:szCs w:val="22"/>
        </w:rPr>
        <w:t>M. Dixon</w:t>
      </w:r>
      <w:r w:rsidR="00652815">
        <w:rPr>
          <w:sz w:val="22"/>
          <w:szCs w:val="22"/>
        </w:rPr>
        <w:t xml:space="preserve"> provided a brief update on the budget and cost savings measures that the college is considering.  He noted that we have identified several areas that we may consider. K. </w:t>
      </w:r>
      <w:proofErr w:type="spellStart"/>
      <w:r w:rsidR="00652815">
        <w:rPr>
          <w:sz w:val="22"/>
          <w:szCs w:val="22"/>
        </w:rPr>
        <w:t>Oeth</w:t>
      </w:r>
      <w:proofErr w:type="spellEnd"/>
      <w:r w:rsidR="00652815">
        <w:rPr>
          <w:sz w:val="22"/>
          <w:szCs w:val="22"/>
        </w:rPr>
        <w:t xml:space="preserve"> added that the college’s printing expenses are currently higher than they have been at this time in previous fiscal years.  O. </w:t>
      </w:r>
      <w:proofErr w:type="spellStart"/>
      <w:r w:rsidR="00652815">
        <w:rPr>
          <w:sz w:val="22"/>
          <w:szCs w:val="22"/>
        </w:rPr>
        <w:t>Armeanu</w:t>
      </w:r>
      <w:proofErr w:type="spellEnd"/>
      <w:r w:rsidR="00652815">
        <w:rPr>
          <w:sz w:val="22"/>
          <w:szCs w:val="22"/>
        </w:rPr>
        <w:t xml:space="preserve"> requested information on the difference in costs for printing in house and at Creative and Print Services.  K. </w:t>
      </w:r>
      <w:proofErr w:type="spellStart"/>
      <w:r w:rsidR="00652815">
        <w:rPr>
          <w:sz w:val="22"/>
          <w:szCs w:val="22"/>
        </w:rPr>
        <w:t>Oeth</w:t>
      </w:r>
      <w:proofErr w:type="spellEnd"/>
      <w:r w:rsidR="00652815">
        <w:rPr>
          <w:sz w:val="22"/>
          <w:szCs w:val="22"/>
        </w:rPr>
        <w:t xml:space="preserve"> will collect this information and provide a report at our next meeting.</w:t>
      </w:r>
    </w:p>
    <w:p w14:paraId="20407414" w14:textId="77777777" w:rsidR="00D33B59" w:rsidRDefault="00D33B59" w:rsidP="00D33B59">
      <w:pPr>
        <w:contextualSpacing/>
        <w:rPr>
          <w:sz w:val="22"/>
          <w:szCs w:val="22"/>
        </w:rPr>
      </w:pPr>
    </w:p>
    <w:p w14:paraId="63B1D6E4" w14:textId="77777777" w:rsidR="00D33B59" w:rsidRPr="00652815" w:rsidRDefault="00D33B59" w:rsidP="00D33B59">
      <w:pPr>
        <w:contextualSpacing/>
        <w:rPr>
          <w:b/>
          <w:sz w:val="22"/>
          <w:szCs w:val="22"/>
        </w:rPr>
      </w:pPr>
      <w:r w:rsidRPr="00652815">
        <w:rPr>
          <w:b/>
          <w:sz w:val="22"/>
          <w:szCs w:val="22"/>
        </w:rPr>
        <w:t>II. HLC Faculty Qualification Guidelines and Compliance</w:t>
      </w:r>
    </w:p>
    <w:p w14:paraId="388DC870" w14:textId="77777777" w:rsidR="00D33B59" w:rsidRDefault="00652815" w:rsidP="00D33B59">
      <w:pPr>
        <w:contextualSpacing/>
        <w:rPr>
          <w:sz w:val="22"/>
          <w:szCs w:val="22"/>
        </w:rPr>
      </w:pPr>
      <w:r>
        <w:rPr>
          <w:sz w:val="22"/>
          <w:szCs w:val="22"/>
        </w:rPr>
        <w:t xml:space="preserve">M. Dixon provided an overview of the HLC qualification guidelines and what is being done in order to ensure that we are in compliance.  </w:t>
      </w:r>
    </w:p>
    <w:p w14:paraId="324F41D6" w14:textId="77777777" w:rsidR="00652815" w:rsidRDefault="00652815" w:rsidP="00D33B59">
      <w:pPr>
        <w:contextualSpacing/>
        <w:rPr>
          <w:sz w:val="22"/>
          <w:szCs w:val="22"/>
        </w:rPr>
      </w:pPr>
    </w:p>
    <w:p w14:paraId="259D7DB8" w14:textId="77777777" w:rsidR="00D33B59" w:rsidRPr="00652815" w:rsidRDefault="00D33B59" w:rsidP="00D33B59">
      <w:pPr>
        <w:contextualSpacing/>
        <w:rPr>
          <w:b/>
          <w:sz w:val="22"/>
          <w:szCs w:val="22"/>
        </w:rPr>
      </w:pPr>
      <w:r w:rsidRPr="00652815">
        <w:rPr>
          <w:b/>
          <w:sz w:val="22"/>
          <w:szCs w:val="22"/>
        </w:rPr>
        <w:t>III. Transfer Credit Policy</w:t>
      </w:r>
    </w:p>
    <w:p w14:paraId="25ECC08E" w14:textId="77777777" w:rsidR="00D33B59" w:rsidRDefault="00652815" w:rsidP="00D33B59">
      <w:pPr>
        <w:contextualSpacing/>
        <w:rPr>
          <w:sz w:val="22"/>
          <w:szCs w:val="22"/>
        </w:rPr>
      </w:pPr>
      <w:r>
        <w:rPr>
          <w:sz w:val="22"/>
          <w:szCs w:val="22"/>
        </w:rPr>
        <w:t xml:space="preserve">M. Dixon reported on the new policy for transfer of credits from other institutions, and a general discussion followed. M. </w:t>
      </w:r>
      <w:proofErr w:type="spellStart"/>
      <w:r>
        <w:rPr>
          <w:sz w:val="22"/>
          <w:szCs w:val="22"/>
        </w:rPr>
        <w:t>Aakhus</w:t>
      </w:r>
      <w:proofErr w:type="spellEnd"/>
      <w:r>
        <w:rPr>
          <w:sz w:val="22"/>
          <w:szCs w:val="22"/>
        </w:rPr>
        <w:t xml:space="preserve"> urged chairs to beware of issues that may arise pertaining to students’ financial aid eligibility that could result from this new policy.</w:t>
      </w:r>
    </w:p>
    <w:p w14:paraId="06A3D0B8" w14:textId="77777777" w:rsidR="00652815" w:rsidRDefault="00652815" w:rsidP="00D33B59">
      <w:pPr>
        <w:contextualSpacing/>
        <w:rPr>
          <w:sz w:val="22"/>
          <w:szCs w:val="22"/>
        </w:rPr>
      </w:pPr>
    </w:p>
    <w:p w14:paraId="558AE11C" w14:textId="77777777" w:rsidR="00D33B59" w:rsidRPr="00B329C1" w:rsidRDefault="00D33B59" w:rsidP="00D33B59">
      <w:pPr>
        <w:contextualSpacing/>
        <w:rPr>
          <w:b/>
          <w:sz w:val="22"/>
          <w:szCs w:val="22"/>
        </w:rPr>
      </w:pPr>
      <w:r w:rsidRPr="00B329C1">
        <w:rPr>
          <w:b/>
          <w:sz w:val="22"/>
          <w:szCs w:val="22"/>
        </w:rPr>
        <w:t>IV. Honors Day Events</w:t>
      </w:r>
    </w:p>
    <w:p w14:paraId="4BEAC6D6" w14:textId="7F7259A8" w:rsidR="00D33B59" w:rsidRDefault="00652815" w:rsidP="00D33B59">
      <w:pPr>
        <w:contextualSpacing/>
        <w:rPr>
          <w:sz w:val="22"/>
          <w:szCs w:val="22"/>
        </w:rPr>
      </w:pPr>
      <w:r>
        <w:rPr>
          <w:sz w:val="22"/>
          <w:szCs w:val="22"/>
        </w:rPr>
        <w:t xml:space="preserve">M. Dixon reminded chairs to submit to him and R. </w:t>
      </w:r>
      <w:proofErr w:type="spellStart"/>
      <w:r>
        <w:rPr>
          <w:sz w:val="22"/>
          <w:szCs w:val="22"/>
        </w:rPr>
        <w:t>Lutton</w:t>
      </w:r>
      <w:proofErr w:type="spellEnd"/>
      <w:r>
        <w:rPr>
          <w:sz w:val="22"/>
          <w:szCs w:val="22"/>
        </w:rPr>
        <w:t xml:space="preserve"> the date and location of their Honors Day events by Monday November 16.</w:t>
      </w:r>
      <w:r w:rsidR="003F417B">
        <w:rPr>
          <w:sz w:val="22"/>
          <w:szCs w:val="22"/>
        </w:rPr>
        <w:t xml:space="preserve"> J. Hardgrave also requested that chairs submit </w:t>
      </w:r>
      <w:r w:rsidR="00B329C1">
        <w:rPr>
          <w:sz w:val="22"/>
          <w:szCs w:val="22"/>
        </w:rPr>
        <w:t xml:space="preserve">their departmental nominations </w:t>
      </w:r>
      <w:r w:rsidR="003F417B">
        <w:rPr>
          <w:sz w:val="22"/>
          <w:szCs w:val="22"/>
        </w:rPr>
        <w:t>to the College Honors Day Awards Committee (J. Hardgrave</w:t>
      </w:r>
      <w:r w:rsidR="00B329C1">
        <w:rPr>
          <w:sz w:val="22"/>
          <w:szCs w:val="22"/>
        </w:rPr>
        <w:t xml:space="preserve"> [chair], D. Hitchcock, and E. Wasserman) by December 1, 2015.</w:t>
      </w:r>
    </w:p>
    <w:p w14:paraId="08DAED84" w14:textId="77777777" w:rsidR="00652815" w:rsidRDefault="00652815" w:rsidP="00D33B59">
      <w:pPr>
        <w:contextualSpacing/>
        <w:rPr>
          <w:sz w:val="22"/>
          <w:szCs w:val="22"/>
        </w:rPr>
      </w:pPr>
    </w:p>
    <w:p w14:paraId="51D69866" w14:textId="77777777" w:rsidR="00D33B59" w:rsidRPr="00B329C1" w:rsidRDefault="00D33B59" w:rsidP="00D33B59">
      <w:pPr>
        <w:contextualSpacing/>
        <w:rPr>
          <w:b/>
          <w:sz w:val="22"/>
          <w:szCs w:val="22"/>
        </w:rPr>
      </w:pPr>
      <w:r w:rsidRPr="00B329C1">
        <w:rPr>
          <w:b/>
          <w:sz w:val="22"/>
          <w:szCs w:val="22"/>
        </w:rPr>
        <w:t xml:space="preserve">V. </w:t>
      </w:r>
      <w:proofErr w:type="spellStart"/>
      <w:r w:rsidRPr="00B329C1">
        <w:rPr>
          <w:b/>
          <w:sz w:val="22"/>
          <w:szCs w:val="22"/>
        </w:rPr>
        <w:t>Curriculog</w:t>
      </w:r>
      <w:proofErr w:type="spellEnd"/>
      <w:r w:rsidRPr="00B329C1">
        <w:rPr>
          <w:b/>
          <w:sz w:val="22"/>
          <w:szCs w:val="22"/>
        </w:rPr>
        <w:t xml:space="preserve"> Procedure/Policy</w:t>
      </w:r>
    </w:p>
    <w:p w14:paraId="30A16AC8" w14:textId="5BD8C19F" w:rsidR="00D33B59" w:rsidRDefault="00B329C1" w:rsidP="00D33B59">
      <w:pPr>
        <w:contextualSpacing/>
        <w:rPr>
          <w:sz w:val="22"/>
          <w:szCs w:val="22"/>
        </w:rPr>
      </w:pPr>
      <w:r>
        <w:rPr>
          <w:sz w:val="22"/>
          <w:szCs w:val="22"/>
        </w:rPr>
        <w:t xml:space="preserve">M. Dixon reported that the University Curriculum Committee </w:t>
      </w:r>
      <w:proofErr w:type="gramStart"/>
      <w:r>
        <w:rPr>
          <w:sz w:val="22"/>
          <w:szCs w:val="22"/>
        </w:rPr>
        <w:t>will</w:t>
      </w:r>
      <w:proofErr w:type="gramEnd"/>
      <w:r>
        <w:rPr>
          <w:sz w:val="22"/>
          <w:szCs w:val="22"/>
        </w:rPr>
        <w:t xml:space="preserve"> require that departmental faculty approve curriculum petitions electronically in </w:t>
      </w:r>
      <w:proofErr w:type="spellStart"/>
      <w:r>
        <w:rPr>
          <w:sz w:val="22"/>
          <w:szCs w:val="22"/>
        </w:rPr>
        <w:t>Curriculog</w:t>
      </w:r>
      <w:proofErr w:type="spellEnd"/>
      <w:r>
        <w:rPr>
          <w:sz w:val="22"/>
          <w:szCs w:val="22"/>
        </w:rPr>
        <w:t>.  Until this cha</w:t>
      </w:r>
      <w:r w:rsidR="009A0CC5">
        <w:rPr>
          <w:sz w:val="22"/>
          <w:szCs w:val="22"/>
        </w:rPr>
        <w:t>nge is made official, faculty signatures will be accepted.</w:t>
      </w:r>
    </w:p>
    <w:p w14:paraId="60E68E85" w14:textId="77777777" w:rsidR="00B329C1" w:rsidRDefault="00B329C1" w:rsidP="00D33B59">
      <w:pPr>
        <w:contextualSpacing/>
        <w:rPr>
          <w:sz w:val="22"/>
          <w:szCs w:val="22"/>
        </w:rPr>
      </w:pPr>
    </w:p>
    <w:p w14:paraId="3B8A3972" w14:textId="77777777" w:rsidR="00D33B59" w:rsidRPr="009A0CC5" w:rsidRDefault="00D33B59" w:rsidP="00D33B59">
      <w:pPr>
        <w:contextualSpacing/>
        <w:rPr>
          <w:b/>
          <w:sz w:val="22"/>
          <w:szCs w:val="22"/>
        </w:rPr>
      </w:pPr>
      <w:r w:rsidRPr="009A0CC5">
        <w:rPr>
          <w:b/>
          <w:sz w:val="22"/>
          <w:szCs w:val="22"/>
        </w:rPr>
        <w:t>VI. Open Items from Chairs</w:t>
      </w:r>
    </w:p>
    <w:p w14:paraId="1C9143DB" w14:textId="42CF782E" w:rsidR="009A0CC5" w:rsidRDefault="009A0CC5" w:rsidP="00D33B59">
      <w:pPr>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reported briefly on a meeting of Liberal Arts deans from the state of Indiana that he attended last week in Indianapolis.  He will share electronically with chairs information about some grant opportunities through Indiana Humanities.</w:t>
      </w:r>
    </w:p>
    <w:p w14:paraId="2C4257E6" w14:textId="40BF4C72" w:rsidR="009A0CC5" w:rsidRDefault="009A0CC5" w:rsidP="00D33B59">
      <w:pPr>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also expressed his gratitude to D. Hitchcock f</w:t>
      </w:r>
      <w:r w:rsidR="0050081E">
        <w:rPr>
          <w:sz w:val="22"/>
          <w:szCs w:val="22"/>
        </w:rPr>
        <w:t>or his efforts to bring R. Herná</w:t>
      </w:r>
      <w:r>
        <w:rPr>
          <w:sz w:val="22"/>
          <w:szCs w:val="22"/>
        </w:rPr>
        <w:t xml:space="preserve">ndez </w:t>
      </w:r>
      <w:proofErr w:type="spellStart"/>
      <w:r w:rsidR="0050081E">
        <w:rPr>
          <w:sz w:val="22"/>
          <w:szCs w:val="22"/>
        </w:rPr>
        <w:t>Garrido</w:t>
      </w:r>
      <w:proofErr w:type="spellEnd"/>
      <w:r w:rsidR="0050081E">
        <w:rPr>
          <w:sz w:val="22"/>
          <w:szCs w:val="22"/>
        </w:rPr>
        <w:t xml:space="preserve"> </w:t>
      </w:r>
      <w:r>
        <w:rPr>
          <w:sz w:val="22"/>
          <w:szCs w:val="22"/>
        </w:rPr>
        <w:t xml:space="preserve">to USI and for the successful performances last week of </w:t>
      </w:r>
      <w:r w:rsidRPr="009A0CC5">
        <w:rPr>
          <w:i/>
          <w:sz w:val="22"/>
          <w:szCs w:val="22"/>
        </w:rPr>
        <w:t>All Who Are Left</w:t>
      </w:r>
      <w:r>
        <w:rPr>
          <w:sz w:val="22"/>
          <w:szCs w:val="22"/>
        </w:rPr>
        <w:t xml:space="preserve">.  He thanked also E. Wasserman for his efforts and those of </w:t>
      </w:r>
      <w:r w:rsidR="008F3A7E">
        <w:rPr>
          <w:sz w:val="22"/>
          <w:szCs w:val="22"/>
        </w:rPr>
        <w:t>the Performing Arts Department</w:t>
      </w:r>
      <w:r>
        <w:rPr>
          <w:sz w:val="22"/>
          <w:szCs w:val="22"/>
        </w:rPr>
        <w:t xml:space="preserve"> </w:t>
      </w:r>
      <w:r>
        <w:rPr>
          <w:sz w:val="22"/>
          <w:szCs w:val="22"/>
        </w:rPr>
        <w:lastRenderedPageBreak/>
        <w:t xml:space="preserve">faculty in this collaborative project.  E. Wasserman added that the </w:t>
      </w:r>
      <w:proofErr w:type="spellStart"/>
      <w:r>
        <w:rPr>
          <w:sz w:val="22"/>
          <w:szCs w:val="22"/>
        </w:rPr>
        <w:t>Mallette</w:t>
      </w:r>
      <w:proofErr w:type="spellEnd"/>
      <w:r>
        <w:rPr>
          <w:sz w:val="22"/>
          <w:szCs w:val="22"/>
        </w:rPr>
        <w:t xml:space="preserve"> Theatre is available for other collaborative projects, and that he is open to discussing possible projects with other departments.</w:t>
      </w:r>
    </w:p>
    <w:p w14:paraId="5F568ECB" w14:textId="77777777" w:rsidR="009A0CC5" w:rsidRDefault="009A0CC5" w:rsidP="00D33B59">
      <w:pPr>
        <w:contextualSpacing/>
        <w:rPr>
          <w:sz w:val="22"/>
          <w:szCs w:val="22"/>
        </w:rPr>
      </w:pPr>
    </w:p>
    <w:p w14:paraId="1D575377" w14:textId="3A29B015" w:rsidR="009A0CC5" w:rsidRDefault="009A0CC5" w:rsidP="00D33B59">
      <w:pPr>
        <w:contextualSpacing/>
        <w:rPr>
          <w:sz w:val="22"/>
          <w:szCs w:val="22"/>
        </w:rPr>
      </w:pPr>
      <w:r>
        <w:rPr>
          <w:sz w:val="22"/>
          <w:szCs w:val="22"/>
        </w:rPr>
        <w:t>The meeting adjourned at 10:09 a.m.</w:t>
      </w:r>
    </w:p>
    <w:p w14:paraId="40CAAC7F" w14:textId="77777777" w:rsidR="00D33B59" w:rsidRDefault="00D33B59" w:rsidP="00D33B59">
      <w:pPr>
        <w:contextualSpacing/>
      </w:pPr>
    </w:p>
    <w:sectPr w:rsidR="00D33B59"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8391D" w14:textId="77777777" w:rsidR="00EE4C57" w:rsidRDefault="00EE4C57" w:rsidP="00EE4C57">
      <w:pPr>
        <w:spacing w:after="0" w:line="240" w:lineRule="auto"/>
      </w:pPr>
      <w:r>
        <w:separator/>
      </w:r>
    </w:p>
  </w:endnote>
  <w:endnote w:type="continuationSeparator" w:id="0">
    <w:p w14:paraId="04934191" w14:textId="77777777" w:rsidR="00EE4C57" w:rsidRDefault="00EE4C57" w:rsidP="00E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34BD47" w14:textId="77777777" w:rsidR="00EE4C57" w:rsidRDefault="00EE4C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BDA51E" w14:textId="77777777" w:rsidR="00EE4C57" w:rsidRDefault="00EE4C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DA3257" w14:textId="77777777" w:rsidR="00EE4C57" w:rsidRDefault="00EE4C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82427" w14:textId="77777777" w:rsidR="00EE4C57" w:rsidRDefault="00EE4C57" w:rsidP="00EE4C57">
      <w:pPr>
        <w:spacing w:after="0" w:line="240" w:lineRule="auto"/>
      </w:pPr>
      <w:r>
        <w:separator/>
      </w:r>
    </w:p>
  </w:footnote>
  <w:footnote w:type="continuationSeparator" w:id="0">
    <w:p w14:paraId="38B89240" w14:textId="77777777" w:rsidR="00EE4C57" w:rsidRDefault="00EE4C57" w:rsidP="00EE4C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3300F3" w14:textId="5750C26F" w:rsidR="00EE4C57" w:rsidRDefault="004F7147">
    <w:pPr>
      <w:pStyle w:val="Header"/>
    </w:pPr>
    <w:r>
      <w:rPr>
        <w:noProof/>
      </w:rPr>
      <w:pict w14:anchorId="22C1A1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B07BB" w14:textId="442EED41" w:rsidR="00EE4C57" w:rsidRDefault="004F7147">
    <w:pPr>
      <w:pStyle w:val="Header"/>
    </w:pPr>
    <w:r>
      <w:rPr>
        <w:noProof/>
      </w:rPr>
      <w:pict w14:anchorId="3E9A23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20EA9F" w14:textId="504004C6" w:rsidR="00EE4C57" w:rsidRDefault="004F7147">
    <w:pPr>
      <w:pStyle w:val="Header"/>
    </w:pPr>
    <w:r>
      <w:rPr>
        <w:noProof/>
      </w:rPr>
      <w:pict w14:anchorId="253412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59"/>
    <w:rsid w:val="003F417B"/>
    <w:rsid w:val="004F7147"/>
    <w:rsid w:val="0050081E"/>
    <w:rsid w:val="00507FF1"/>
    <w:rsid w:val="00652815"/>
    <w:rsid w:val="007C3EDD"/>
    <w:rsid w:val="008F3A7E"/>
    <w:rsid w:val="009A0CC5"/>
    <w:rsid w:val="00B329C1"/>
    <w:rsid w:val="00D33B59"/>
    <w:rsid w:val="00EE4C57"/>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40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59"/>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C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4C57"/>
    <w:rPr>
      <w:rFonts w:ascii="Eras Medium ITC" w:eastAsia="Calibri" w:hAnsi="Eras Medium ITC" w:cs="Times New Roman"/>
    </w:rPr>
  </w:style>
  <w:style w:type="paragraph" w:styleId="Footer">
    <w:name w:val="footer"/>
    <w:basedOn w:val="Normal"/>
    <w:link w:val="FooterChar"/>
    <w:uiPriority w:val="99"/>
    <w:unhideWhenUsed/>
    <w:rsid w:val="00EE4C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4C57"/>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59"/>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C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4C57"/>
    <w:rPr>
      <w:rFonts w:ascii="Eras Medium ITC" w:eastAsia="Calibri" w:hAnsi="Eras Medium ITC" w:cs="Times New Roman"/>
    </w:rPr>
  </w:style>
  <w:style w:type="paragraph" w:styleId="Footer">
    <w:name w:val="footer"/>
    <w:basedOn w:val="Normal"/>
    <w:link w:val="FooterChar"/>
    <w:uiPriority w:val="99"/>
    <w:unhideWhenUsed/>
    <w:rsid w:val="00EE4C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4C57"/>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408</Words>
  <Characters>2328</Characters>
  <Application>Microsoft Macintosh Word</Application>
  <DocSecurity>0</DocSecurity>
  <Lines>19</Lines>
  <Paragraphs>5</Paragraphs>
  <ScaleCrop>false</ScaleCrop>
  <Company>USI</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9</cp:revision>
  <dcterms:created xsi:type="dcterms:W3CDTF">2015-11-14T17:01:00Z</dcterms:created>
  <dcterms:modified xsi:type="dcterms:W3CDTF">2015-12-10T14:27:00Z</dcterms:modified>
</cp:coreProperties>
</file>